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32"/>
          <w:szCs w:val="3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highlight w:val="white"/>
          <w:rtl w:val="0"/>
        </w:rPr>
        <w:t xml:space="preserve">Okrúhl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highlight w:val="white"/>
          <w:rtl w:val="0"/>
        </w:rPr>
        <w:t xml:space="preserve">y stôl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bCs w:val="1"/>
          <w:sz w:val="32"/>
          <w:szCs w:val="3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highlight w:val="white"/>
          <w:rtl w:val="0"/>
        </w:rPr>
        <w:t xml:space="preserve">Procesný opatrovník dieťaťa: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bCs w:val="1"/>
          <w:sz w:val="28"/>
          <w:szCs w:val="28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highlight w:val="white"/>
          <w:rtl w:val="0"/>
        </w:rPr>
        <w:t xml:space="preserve">strážca najlepšieho záujmu dieťaťa alebo procesná úprava?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bCs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Hotel Tatra</w:t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highlight w:val="white"/>
          <w:rtl w:val="0"/>
        </w:rPr>
        <w:t xml:space="preserve"> (Námestie 1. mája 5, 811 06 Bratislava</w:t>
      </w:r>
      <w:r w:rsidDel="00000000" w:rsidR="00000000" w:rsidRPr="00000000">
        <w:rPr>
          <w:rFonts w:ascii="Arial" w:cs="Arial" w:eastAsia="Arial" w:hAnsi="Arial"/>
          <w:b w:val="1"/>
          <w:bCs w:val="1"/>
          <w:color w:val="474747"/>
          <w:sz w:val="21"/>
          <w:szCs w:val="21"/>
          <w:highlight w:val="white"/>
          <w:rtl w:val="0"/>
        </w:rPr>
        <w:t xml:space="preserve">–⁠⁠⁠⁠⁠⁠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highlight w:val="white"/>
          <w:rtl w:val="0"/>
        </w:rPr>
        <w:t xml:space="preserve">Staré Mesto)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23. apríla 2026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Procesné opatrovníctvo dieťaťa, najmä v konaniach vo veciach starostlivosti súdu o maloletých, je už dlhší čas diskutovanou témou. Pozornosť v debatách sa často sústreďuje na otázku osoby opatrovníka, teda či je koncepčné, aby v konaniach starostlivosti súdu o maloleté dieťa zastupoval ako procesný opatrovník orgán sociálnoprávnej ochrany detí, a tiež aká je jeho úloha. Ešte dôležitejšou otázkou však je, čím sa má procesný opatrovník pri výkone svojej úlohy riadiť.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Opatrovníctvo je typickým inštitútom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tzv. náhradného rozhodovania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 Opatrovník sa tak na rozdiel od splnomocnenca môže odchýliť od názoru zastupovanej osoby. V prípade detí sa táto odchýlka spravidla odôvodňuje tým, že vyhovenie názoru dieťaťa nie je v jeho najlepšom záujme.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Pravidlo zohľadňovania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najlepšieho záujmu dieťaťa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ako prvoradého hľadiska vo všetkých záležitostiach, ktoré sa dieťaťa týkajú, nebýva v debatách o úlohe procesného opatrovníka spochybňované, aj s ohľadom na skutočnosť, že predstavuje jeden zo základných princípov Dohovoru o právach dieťaťa a verejné subjektívne právo dieťaťa garantované v článku 3 ods. 1. Napriek tomu však nejde o pravidlo bez problémov, najmä v oblasti procesného zastúpenia dieťaťa.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Keďže odkaz na toto pravidlo vytvára pre procesného opatrovníka priestor, v ktorom sa môže pri vykonávaní procesných úkonov odchýliť od názoru dieťaťa, môže zároveň predstavovať bariéru účinného prístupu dieťaťa k uplatňovaniu jeho procesných práv v konaní, ktoré sa ho týka. O to problematickejšie je to v prípadoch, keď predmet konania súvisí s otázkami životného usporiadania dieťaťa, pri ktorých je najlepší záujem len ťažko objektivizovateľný. Procesný opatrovník tak môže v konečnom dôsledku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narušiť princíp rovnosti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účastníkov konania, keďže dieťa stavia do postavenia, v ktorom nemôže uplatňovať svoje procesné práva s cieľom dosiahnuť výsledok zodpovedajúci jeho želaniu.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Tento dopad konceptu najlepšieho záujmu na rovnosť v rozhodovaní sa v rovine ľudských práv tematizuje napríklad v oblasti práv osôb so zdravotným postihnutím. Výbor OSN pre práva osôb so zdravotným postihnutím vo svojom prvom všeobecnom komentári venovanom rovnosti pred zákonom odmietol uplatňovanie konceptu najlepšieho záujmu vo vzťahu k dospelým osobám so zdravotným znevýhodnením bez ohľadu na druh a mieru znevýhodnenia.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Nie je teda dôvod odmietnuť uplatňovanie tohto konceptu aj v kontexte procesného zastúpenia dieťaťa v súdnych alebo správnych konaniach? Alebo aspoň v niektorých typoch konaní, napríklad vo veciach starostlivosti súdu o maloletých, kde úlohu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strážcu najlepšieho záujmu dieťaťa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plní samotný súd? Nie je namieste uvažovať o úlohe procesného opatrovníka ako o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procesnej úprave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ktorej zmyslom je vyrovnávať faktickú nerovnosť detí vyplývajúcu z ich veku a menšej miery skúseností? A ako si môžeme byť istí, že to, čo v konaniach nadradzujeme názorom dieťaťa, je skutočne jeho najlepší záujem?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Program okrúhleho stola</w:t>
      </w:r>
    </w:p>
    <w:p w:rsidR="00000000" w:rsidDel="00000000" w:rsidP="00000000" w:rsidRDefault="00000000" w:rsidRPr="00000000" w14:paraId="00000014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rtl w:val="0"/>
        </w:rPr>
        <w:t xml:space="preserve">9:00–9:30</w:t>
        <w:tab/>
        <w:t xml:space="preserve">Registrácia účastníkov a účastníčok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7">
      <w:pPr>
        <w:ind w:left="1418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9:30–9:45</w:t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Predstavenie projektu a zhrnutie najdôležitejších zistení z národnej štúdie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1418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</w:r>
    </w:p>
    <w:p w:rsidR="00000000" w:rsidDel="00000000" w:rsidP="00000000" w:rsidRDefault="00000000" w:rsidRPr="00000000" w14:paraId="00000019">
      <w:pPr>
        <w:ind w:left="1418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Mgr. Markéta Gregorová, Ph.D.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(Fórum pro lidská práva)</w:t>
      </w:r>
    </w:p>
    <w:p w:rsidR="00000000" w:rsidDel="00000000" w:rsidP="00000000" w:rsidRDefault="00000000" w:rsidRPr="00000000" w14:paraId="0000001A">
      <w:pPr>
        <w:ind w:left="1418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1418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9:45–10:15</w:t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Procesný opatrovník ako zdroj bezmocnosti v súdnom konaní? Dva prípady predložené Výboru OSN pre práva dieťaťa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141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</w:r>
    </w:p>
    <w:p w:rsidR="00000000" w:rsidDel="00000000" w:rsidP="00000000" w:rsidRDefault="00000000" w:rsidRPr="00000000" w14:paraId="0000001D">
      <w:pPr>
        <w:ind w:left="1418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JUDr. Maroš Matiaško, Ph.D., LL.M.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(Fórum pro lidská práva)</w:t>
      </w:r>
    </w:p>
    <w:p w:rsidR="00000000" w:rsidDel="00000000" w:rsidP="00000000" w:rsidRDefault="00000000" w:rsidRPr="00000000" w14:paraId="0000001E">
      <w:pPr>
        <w:ind w:left="141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1418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10:15–11:00</w:t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Orgány sociálnoprávnej ochrany detí a sociálnej kurately v roli procesného opatrovníka – súčasné výzvy a návrhy riešení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141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21">
      <w:pPr>
        <w:ind w:left="1418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Renata Brennerová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(</w:t>
      </w:r>
      <w:hyperlink r:id="rId7">
        <w:r w:rsidDel="00000000" w:rsidR="00000000" w:rsidRPr="00000000">
          <w:rPr>
            <w:rFonts w:ascii="Arial" w:cs="Arial" w:eastAsia="Arial" w:hAnsi="Arial"/>
            <w:i w:val="1"/>
            <w:iCs w:val="1"/>
            <w:sz w:val="20"/>
            <w:szCs w:val="20"/>
            <w:rtl w:val="0"/>
          </w:rPr>
          <w:t xml:space="preserve">Ministerstvo práce, sociálnych vecí a rodiny</w:t>
        </w:r>
      </w:hyperlink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, odbor stratégie sociálnej ochrany detí a rodiny)</w:t>
      </w:r>
    </w:p>
    <w:p w:rsidR="00000000" w:rsidDel="00000000" w:rsidP="00000000" w:rsidRDefault="00000000" w:rsidRPr="00000000" w14:paraId="00000022">
      <w:pPr>
        <w:ind w:left="141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141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rtl w:val="0"/>
        </w:rPr>
        <w:t xml:space="preserve">11:00–11:15</w:t>
        <w:tab/>
        <w:t xml:space="preserve">Prestávka na kávu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141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25">
      <w:pPr>
        <w:ind w:left="1418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11:15–11:50</w:t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Najlepšie záujmy dieťaťa pri výkone procesného zastupovania detí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1418"/>
        <w:jc w:val="both"/>
        <w:rPr>
          <w:rFonts w:ascii="Arial" w:cs="Arial" w:eastAsia="Arial" w:hAnsi="Arial"/>
          <w:b w:val="1"/>
          <w:bCs w:val="1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1418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JUDr. Jana Michaličková, PhD., LL.M.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(Úrad komisára pre deti)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141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1418"/>
        <w:jc w:val="both"/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rtl w:val="0"/>
        </w:rPr>
        <w:t xml:space="preserve">11:50–12:50 </w:t>
        <w:tab/>
        <w:t xml:space="preserve">Prestávka na obed</w:t>
      </w:r>
    </w:p>
    <w:p w:rsidR="00000000" w:rsidDel="00000000" w:rsidP="00000000" w:rsidRDefault="00000000" w:rsidRPr="00000000" w14:paraId="0000002A">
      <w:pPr>
        <w:ind w:left="1418"/>
        <w:jc w:val="both"/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1418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12:50–13:30</w:t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Dať dieťaťu hlas – prístup rodinných konferencií a jeho význam z hľadiska napĺňania participačných práv dieťaťa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1418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141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Mgr. et Bc. Emília Chovancová Bezáková, PhD.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(Úsmev ako dar)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1418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1418"/>
        <w:jc w:val="both"/>
        <w:rPr>
          <w:rFonts w:ascii="Arial" w:cs="Arial" w:eastAsia="Arial" w:hAnsi="Arial"/>
          <w:b w:val="1"/>
          <w:bCs w:val="1"/>
          <w:sz w:val="20"/>
          <w:szCs w:val="20"/>
          <w:highlight w:val="yellow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13:30–14:10</w:t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Procesné zastupovaním detí v súdnych konaniach z pohľadu poskytovateľov terénnych a ambulantných služieb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141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31">
      <w:pPr>
        <w:ind w:left="141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Mgr. Tomáš Koňuch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(Tenenet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141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rtl w:val="0"/>
        </w:rPr>
        <w:t xml:space="preserve">14:10–14:25</w:t>
        <w:tab/>
        <w:t xml:space="preserve">Prestávka na kávu </w:t>
      </w:r>
    </w:p>
    <w:p w:rsidR="00000000" w:rsidDel="00000000" w:rsidP="00000000" w:rsidRDefault="00000000" w:rsidRPr="00000000" w14:paraId="00000034">
      <w:pPr>
        <w:ind w:left="1418"/>
        <w:jc w:val="both"/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1418"/>
        <w:rPr>
          <w:rFonts w:ascii="Arial" w:cs="Arial" w:eastAsia="Arial" w:hAnsi="Arial"/>
          <w:b w:val="1"/>
          <w:bCs w:val="1"/>
          <w:sz w:val="20"/>
          <w:szCs w:val="20"/>
          <w:highlight w:val="yellow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14:25–15:05</w:t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Procesné zastupovanie dieťaťa v azylových a cudzineckých konaniach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141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37">
      <w:pPr>
        <w:ind w:left="141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Miroslava Mittelmannová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white"/>
          <w:rtl w:val="0"/>
        </w:rPr>
        <w:t xml:space="preserve">(Liga za ľudské práva)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1418"/>
        <w:jc w:val="both"/>
        <w:rPr>
          <w:rFonts w:ascii="Arial" w:cs="Arial" w:eastAsia="Arial" w:hAnsi="Arial"/>
          <w:i w:val="1"/>
          <w:iCs w:val="1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1418"/>
        <w:jc w:val="both"/>
        <w:rPr>
          <w:rFonts w:ascii="Arial" w:cs="Arial" w:eastAsia="Arial" w:hAnsi="Arial"/>
          <w:b w:val="1"/>
          <w:bCs w:val="1"/>
          <w:sz w:val="20"/>
          <w:szCs w:val="20"/>
          <w:highlight w:val="yellow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15:05–15:45</w:t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Najlepší záujem ako problematický koncept? Perspektíva práv osôb so zdravotným postihnutím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141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3B">
      <w:pPr>
        <w:ind w:left="1418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JUDr. Ingrid Šovčíková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(Úrad komisárky pre osoby so zdravotným postihnutím)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141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 </w:t>
      </w:r>
    </w:p>
    <w:p w:rsidR="00000000" w:rsidDel="00000000" w:rsidP="00000000" w:rsidRDefault="00000000" w:rsidRPr="00000000" w14:paraId="0000003D">
      <w:pPr>
        <w:ind w:left="1418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15:45–16:00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ab/>
        <w:t xml:space="preserve">Zhrnutie a záverečné slovo</w:t>
      </w:r>
    </w:p>
    <w:p w:rsidR="00000000" w:rsidDel="00000000" w:rsidP="00000000" w:rsidRDefault="00000000" w:rsidRPr="00000000" w14:paraId="0000003E">
      <w:pPr>
        <w:ind w:left="1418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1418" w:firstLine="21.999999999999886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Mgr. Markéta Gregorová, Ph.D.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(Fórum pro lidská práva)</w:t>
      </w:r>
    </w:p>
    <w:p w:rsidR="00000000" w:rsidDel="00000000" w:rsidP="00000000" w:rsidRDefault="00000000" w:rsidRPr="00000000" w14:paraId="00000040">
      <w:pPr>
        <w:ind w:left="1418" w:firstLine="21.999999999999886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0" w:firstLine="15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0" w:firstLine="15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0" w:firstLine="15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0" w:firstLine="15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0" w:firstLine="15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0" w:firstLine="15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0" w:firstLine="15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1827693</wp:posOffset>
            </wp:positionH>
            <wp:positionV relativeFrom="paragraph">
              <wp:posOffset>354289</wp:posOffset>
            </wp:positionV>
            <wp:extent cx="2103120" cy="472822"/>
            <wp:effectExtent b="0" l="0" r="0" t="0"/>
            <wp:wrapSquare wrapText="bothSides" distB="0" distT="0" distL="114300" distR="114300"/>
            <wp:docPr descr="Obsah obrázku Písmo, Elektricky modrá, modrá, Výrazná modrá&#10;&#10;Popis byl vytvořen automaticky" id="4" name="image6.png"/>
            <a:graphic>
              <a:graphicData uri="http://schemas.openxmlformats.org/drawingml/2006/picture">
                <pic:pic>
                  <pic:nvPicPr>
                    <pic:cNvPr descr="Obsah obrázku Písmo, Elektricky modrá, modrá, Výrazná modrá&#10;&#10;Popis byl vytvořen automaticky"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47282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8">
      <w:pPr>
        <w:ind w:left="0" w:firstLine="15"/>
        <w:jc w:val="both"/>
        <w:rPr>
          <w:rFonts w:ascii="Aptos" w:cs="Aptos" w:eastAsia="Aptos" w:hAnsi="Aptos"/>
          <w:i w:val="1"/>
          <w:iCs w:val="1"/>
          <w:sz w:val="20"/>
          <w:szCs w:val="20"/>
          <w:highlight w:val="white"/>
        </w:rPr>
      </w:pPr>
      <w:r w:rsidDel="00000000" w:rsidR="00000000" w:rsidRPr="00000000">
        <w:rPr>
          <w:rFonts w:ascii="Aptos" w:cs="Aptos" w:eastAsia="Aptos" w:hAnsi="Aptos"/>
          <w:i w:val="1"/>
          <w:iCs w:val="1"/>
          <w:sz w:val="20"/>
          <w:szCs w:val="20"/>
          <w:highlight w:val="white"/>
          <w:rtl w:val="0"/>
        </w:rPr>
        <w:t xml:space="preserve">Financované</w:t>
      </w:r>
      <w:r w:rsidDel="00000000" w:rsidR="00000000" w:rsidRPr="00000000">
        <w:rPr>
          <w:rFonts w:ascii="Aptos" w:cs="Aptos" w:eastAsia="Aptos" w:hAnsi="Aptos"/>
          <w:i w:val="1"/>
          <w:iCs w:val="1"/>
          <w:sz w:val="20"/>
          <w:szCs w:val="20"/>
          <w:highlight w:val="white"/>
          <w:rtl w:val="0"/>
        </w:rPr>
        <w:t xml:space="preserve"> Európskou úniou. Názory a stanoviská vyjadrené v tomto dokumente sú však výlučne názormi autora (autorov) a nemusia nevyhnutne odrážať názory Európskej únie alebo Európskej komisie. Európska únia ani Európska komisia za ne nenesú žiadnu zodpovednosť.</w:t>
      </w:r>
    </w:p>
    <w:p w:rsidR="00000000" w:rsidDel="00000000" w:rsidP="00000000" w:rsidRDefault="00000000" w:rsidRPr="00000000" w14:paraId="0000004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40" w:before="240" w:line="276" w:lineRule="auto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Okrúhly stôl sa realizuje v rámci projektu Be seen Be heard – Empowering Child VOICEs in Legal Proceedings (VOICE) (Byť videný, byť počutý – posilnenie hlasu detí v súdnych konaniach), ktorý sa zameriava na zabezpečenie aktívnej a zmysluplnej účasti detí v právnych konaniach v súlade s článkom 12 Dohovoru OSN o právach dieťaťa (UNCRC), Stratégiou EÚ pre práva dieťaťa a ďalšími medzinárodnými a európskymi právnymi normami. Cieľom projektu je podporiť účinné uplatňovanie práva detí byť vypočuté a zúčastňovať sa na súdnych konaniach v súlade so Stratégiou EÚ pre práva dieťaťa prostredníctvom vzájomnej výmeny skúseností medzi právnikmi a právničkami z piatich členských štátov EÚ (Rakúska, Českej republiky, Malty, Holandska a Slovenska).</w:t>
      </w:r>
    </w:p>
    <w:p w:rsidR="00000000" w:rsidDel="00000000" w:rsidP="00000000" w:rsidRDefault="00000000" w:rsidRPr="00000000" w14:paraId="0000004A">
      <w:pPr>
        <w:ind w:firstLine="15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Okrúhly stôl je organizovaný v súlade s hodnotami udržateľnosti a etickej zodpovednosti voči zvieratám. Z týchto dôvodov bude počas celej akcie podávané výlučne vegánske občerstvenie, ktoré je šetrnejšie k životnému prostrediu a minimalizuje utrpenie zvierat.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6840" w:w="11900" w:orient="portrait"/>
      <w:pgMar w:bottom="1417" w:top="1417" w:left="1417" w:right="141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rPr/>
    </w:pPr>
    <w:r w:rsidDel="00000000" w:rsidR="00000000" w:rsidRPr="00000000">
      <w:rPr/>
      <w:drawing>
        <wp:inline distB="114300" distT="114300" distL="114300" distR="114300">
          <wp:extent cx="571818" cy="571818"/>
          <wp:effectExtent b="0" l="0" r="0" t="0"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1818" cy="57181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    </w:t>
    </w:r>
    <w:r w:rsidDel="00000000" w:rsidR="00000000" w:rsidRPr="00000000">
      <w:rPr/>
      <w:drawing>
        <wp:inline distB="114300" distT="114300" distL="114300" distR="114300">
          <wp:extent cx="889488" cy="578167"/>
          <wp:effectExtent b="0" l="0" r="0" t="0"/>
          <wp:docPr id="5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9488" cy="57816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     </w:t>
    </w:r>
    <w:r w:rsidDel="00000000" w:rsidR="00000000" w:rsidRPr="00000000">
      <w:rPr/>
      <w:drawing>
        <wp:inline distB="114300" distT="114300" distL="114300" distR="114300">
          <wp:extent cx="1219517" cy="571382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9517" cy="57138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   </w:t>
    </w:r>
    <w:r w:rsidDel="00000000" w:rsidR="00000000" w:rsidRPr="00000000">
      <w:rPr/>
      <w:drawing>
        <wp:inline distB="114300" distT="114300" distL="114300" distR="114300">
          <wp:extent cx="1171892" cy="577329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71892" cy="57732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    </w:t>
    </w:r>
    <w:r w:rsidDel="00000000" w:rsidR="00000000" w:rsidRPr="00000000">
      <w:rPr/>
      <w:drawing>
        <wp:inline distB="114300" distT="114300" distL="114300" distR="114300">
          <wp:extent cx="455255" cy="587692"/>
          <wp:effectExtent b="0" l="0" r="0" t="0"/>
          <wp:docPr id="8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55255" cy="5876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Odstavecseseznamem">
    <w:name w:val="List Paragraph"/>
    <w:basedOn w:val="Normln"/>
    <w:uiPriority w:val="34"/>
    <w:qFormat w:val="1"/>
    <w:rsid w:val="009F23BE"/>
    <w:pPr>
      <w:numPr>
        <w:numId w:val="1"/>
      </w:numPr>
      <w:contextualSpacing w:val="1"/>
    </w:pPr>
    <w:rPr>
      <w:rFonts w:ascii="Verdana" w:cs="Times New Roman" w:eastAsia="Times New Roman" w:hAnsi="Verdana"/>
      <w:b w:val="1"/>
      <w:sz w:val="20"/>
      <w:szCs w:val="20"/>
      <w:lang w:eastAsia="cs-CZ" w:val="en-GB"/>
    </w:rPr>
  </w:style>
  <w:style w:type="character" w:styleId="Hypertextovodkaz">
    <w:name w:val="Hyperlink"/>
    <w:basedOn w:val="Standardnpsmoodstavce"/>
    <w:uiPriority w:val="99"/>
    <w:unhideWhenUsed w:val="1"/>
    <w:rsid w:val="00B559E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 w:val="1"/>
    <w:unhideWhenUsed w:val="1"/>
    <w:rsid w:val="00B559E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2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employment.gov.sk/" TargetMode="External"/><Relationship Id="rId8" Type="http://schemas.openxmlformats.org/officeDocument/2006/relationships/image" Target="media/image6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5.png"/><Relationship Id="rId3" Type="http://schemas.openxmlformats.org/officeDocument/2006/relationships/image" Target="media/image1.png"/><Relationship Id="rId4" Type="http://schemas.openxmlformats.org/officeDocument/2006/relationships/image" Target="media/image3.png"/><Relationship Id="rId5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OfxQHVsu9jERn7DLtgClql9KsQ==">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2025-11-25T20:42:00Z</dcterms:created>
  <dc:creator>Anna Hofschneiderová</dc:creator>
</cp:coreProperties>
</file>