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Kulatý stůl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Procesní opatrovník dítěte: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strážce nejlepšího zájmu dítěte, nebo procesní úprava?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Hotel Josef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 (Rybná 20, 110 00 Praha</w:t>
      </w:r>
      <w:r w:rsidDel="00000000" w:rsidR="00000000" w:rsidRPr="00000000">
        <w:rPr>
          <w:rFonts w:ascii="Arial" w:cs="Arial" w:eastAsia="Arial" w:hAnsi="Arial"/>
          <w:b w:val="1"/>
          <w:bCs w:val="1"/>
          <w:color w:val="474747"/>
          <w:sz w:val="21"/>
          <w:szCs w:val="21"/>
          <w:highlight w:val="white"/>
          <w:rtl w:val="0"/>
        </w:rPr>
        <w:t xml:space="preserve">–⁠⁠⁠⁠⁠⁠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Staré Město)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dubna 2026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Procesní opatrovnictví dítěte, především v řízeních ve věcech péče soudu o nezletilé, je již delší dobu diskutovaným tématem. Pozornost v debatách se často soustředí na otázku osoby opatrovníka, tedy zda je koncepční, aby dítě zastupoval orgán sociálně-právní ochrany dětí, a jaká je role tohoto orgánu. Ještě důležitější otázkou však je, čím se má procesní opatrovník při výkonu své role řídit.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Opatrovnictví je institutem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tzv. náhradního rozhodování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Opatrovník se na rozdíl od zmocněnce může odchýlit od názoru zastupovaného člověka. V případě dětí bývá tato odchylka odůvodňována tím, že vyhovění názoru dítěte není v jeho nejlepším zájmu. Pravidlo zohlednění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nejlepšího zájmu dítěte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jako předního hlediska ve všech záležitostech, které se dítěte týkají, nebývá zpochybňováno, i s ohledem na to, že představuje jeden ze čtyř základních principů Úmluvy o právech dítěte a veřejné subjektivní právo dítěte garantované v čl. 3 odst. 1 této úmluvy. Přesto se nejedná o pravidlo neproblematické, zejména v oblasti procesního zastoupení dítěte.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Odkaz na toto pravidlo vytváří pro procesního opatrovníka prostor, v němž se při činění procesních úkonů může odchýlit od názoru dítěte, a může tak působit jako bariéra v účinném přístupu dítěte k realizaci jeho procesních práv. To je problematické zejména tehdy, souvisí-li předmět řízení s otázkami životního uspořádání dítěte, kde je nejlepší zájem obtížně objektivizovatelný. Procesní opatrovník, jehož úkolem je zastupovat dítě podle jeho nejlepšího zájmu, tak může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narušovat princip rovnosti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účastníků soudního řízení, neboť dítě staví do postavení, v němž nemůže svá procesní práva uplatnit k dosažení výsledku odpovídajícího jeho přání.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Tento dopad konceptu nejlepšího zájmu na rovnost v rozhodování je tematizován i v oblasti práv osob se zdravotním postižením. Výbor OSN pro práva osob se zdravotním postižením ve svém prvním obecném komentáři, věnovaném rovnosti před zákonem, odmítl uplatňování konceptu nejlepšího zájmu ve vztahu k dospělým osobám se znevýhodněním bez ohledu na druh a míru znevýhodnění.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Není proto důvod zvažovat omezení tohoto konceptu též v kontextu procesního zastoupení dítěte v soudních nebo správních řízeních? Nebo alespoň v některých typech řízení, například ve věcech péče soudu o nezletilé, kde roli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strážce nejlepšího zájmu dítěte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již zastává soud? Není namístě uvažovat o roli procesního opatrovníka spíše jako 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procesní úpravě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jejímž smyslem je vyrovnat faktickou nerovnost dětí, danou jejich věkem a menší mírou životních zkušeností? A jak si můžeme být jisti, že to, co předřazujeme názorům dítěte, skutečně odpovídá jeho nejlepšímu zájmu?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Program kulatého stolu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9:00–9:30</w:t>
        <w:tab/>
        <w:t xml:space="preserve">Registrace účastníků a účastnic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9:30–9:45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Představení projektu a shrnutí nejdůležitějších poznatků z národní studie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9">
      <w:pPr>
        <w:ind w:left="1418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Mgr. Markéta Gregorová, Ph.D.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(Fórum pro lidská práva)</w:t>
      </w:r>
    </w:p>
    <w:p w:rsidR="00000000" w:rsidDel="00000000" w:rsidP="00000000" w:rsidRDefault="00000000" w:rsidRPr="00000000" w14:paraId="0000001A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9:45–10:15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Procesní opatrovník jako zdroj bezmoci v soudním řízení? Dva p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řípady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, které byly předloženy Výboru OSN pro práva dítěte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D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Mgr. Anna Sležková, Ph.D.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(Fórum pro lidská práva)</w:t>
      </w:r>
    </w:p>
    <w:p w:rsidR="00000000" w:rsidDel="00000000" w:rsidP="00000000" w:rsidRDefault="00000000" w:rsidRPr="00000000" w14:paraId="0000001E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10:15–11:00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Výkon procesního opatrovnictví dětí v činnosti veřejného ochránce práv a ochránce práv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1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Mgr. Barbora Koberová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(Kancelář veřejného ochránce práv, odbor ochrany práv dětí)</w:t>
      </w:r>
    </w:p>
    <w:p w:rsidR="00000000" w:rsidDel="00000000" w:rsidP="00000000" w:rsidRDefault="00000000" w:rsidRPr="00000000" w14:paraId="00000022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11:00–11:15</w:t>
        <w:tab/>
        <w:t xml:space="preserve">Přestávka na kávu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5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11:15–11:50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Dát dítěti hlas – přístup rodinných konferencí a jeho význam z hlediska naplnění participačních práv dítěte</w:t>
      </w:r>
    </w:p>
    <w:p w:rsidR="00000000" w:rsidDel="00000000" w:rsidP="00000000" w:rsidRDefault="00000000" w:rsidRPr="00000000" w14:paraId="00000026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Mgr. Kateřina Martínková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(RK centrum)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11:50–12:50 </w:t>
        <w:tab/>
        <w:t xml:space="preserve">Přestávka na oběd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12:50–13:30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Orgány sociálně-právní ochrany dětí jako procesní opatrovník – současné výzvy a jejich možná řešení</w:t>
      </w:r>
    </w:p>
    <w:p w:rsidR="00000000" w:rsidDel="00000000" w:rsidP="00000000" w:rsidRDefault="00000000" w:rsidRPr="00000000" w14:paraId="0000002C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Mgr. Daniel Hovorka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18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13:30–14:10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Justiční facilitátor jako příklad účinné procesní úpravy pro děti se zdravotním znevýhodněním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1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Camille Latimier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(Společnosti pro podporu lidí s mentálním postižením v ČR)</w:t>
      </w:r>
    </w:p>
    <w:p w:rsidR="00000000" w:rsidDel="00000000" w:rsidP="00000000" w:rsidRDefault="00000000" w:rsidRPr="00000000" w14:paraId="00000032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14:10–14:25</w:t>
        <w:tab/>
        <w:t xml:space="preserve">Přestávka na kávu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14:25–15:05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Mezidisciplinární spolupráce v praxi: efektivní mechanismy detekce a ochrany dětských obětí obchodování s lidmi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7">
      <w:pPr>
        <w:ind w:left="1418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Markéta Hronková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(La Strada)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18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15:05–15:15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Shrnutí a závěrečné slovo</w:t>
      </w:r>
    </w:p>
    <w:p w:rsidR="00000000" w:rsidDel="00000000" w:rsidP="00000000" w:rsidRDefault="00000000" w:rsidRPr="00000000" w14:paraId="0000003A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418" w:firstLine="21.999999999999886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Mgr. Markéta Gregorová, Ph.D.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(Fórum pro lidská práva)</w:t>
      </w:r>
    </w:p>
    <w:p w:rsidR="00000000" w:rsidDel="00000000" w:rsidP="00000000" w:rsidRDefault="00000000" w:rsidRPr="00000000" w14:paraId="0000003C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1956280</wp:posOffset>
            </wp:positionH>
            <wp:positionV relativeFrom="paragraph">
              <wp:posOffset>104775</wp:posOffset>
            </wp:positionV>
            <wp:extent cx="1846580" cy="454660"/>
            <wp:effectExtent b="0" l="0" r="0" t="0"/>
            <wp:wrapSquare wrapText="bothSides" distB="0" distT="0" distL="114300" distR="114300"/>
            <wp:docPr descr="Obsah obrázku Písmo, Elektricky modrá, modrá, symbol&#10;&#10;Popis byl vytvořen automaticky" id="3" name="image2.png"/>
            <a:graphic>
              <a:graphicData uri="http://schemas.openxmlformats.org/drawingml/2006/picture">
                <pic:pic>
                  <pic:nvPicPr>
                    <pic:cNvPr descr="Obsah obrázku Písmo, Elektricky modrá, modrá, symbol&#10;&#10;Popis byl vytvořen automaticky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54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jc w:val="both"/>
        <w:rPr>
          <w:rFonts w:ascii="Aptos" w:cs="Aptos" w:eastAsia="Aptos" w:hAnsi="Aptos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0"/>
          <w:szCs w:val="20"/>
          <w:highlight w:val="white"/>
          <w:rtl w:val="0"/>
        </w:rPr>
        <w:t xml:space="preserve">Financováno Evropskou unií. Názory a stanoviska vyjádřená v tomto dokumentu jsou však pouze názory autora (autorů) a nemusí nutně odrážet názory Evropské unie nebo Evropské komise. Evropská unie ani Evropská komise za ně nenesou žádnou odpovědnost.</w:t>
      </w:r>
    </w:p>
    <w:p w:rsidR="00000000" w:rsidDel="00000000" w:rsidP="00000000" w:rsidRDefault="00000000" w:rsidRPr="00000000" w14:paraId="00000048">
      <w:pPr>
        <w:jc w:val="both"/>
        <w:rPr>
          <w:rFonts w:ascii="Aptos" w:cs="Aptos" w:eastAsia="Aptos" w:hAnsi="Aptos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Kulatý stůl je realizován v rámci projektu Be seen Be heard – Empowering Child VOICEs in Legal Proceedings (VOICE) (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sz w:val="20"/>
            <w:szCs w:val="20"/>
            <w:rtl w:val="0"/>
          </w:rPr>
          <w:t xml:space="preserve">Být viděn, být slyšen – posílení hlasu dětí v soudních řízeních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), který cílí na zajištění aktivní a smysluplné účasti dětí v právních řízeních v souladu s </w:t>
      </w:r>
      <w:hyperlink r:id="rId9">
        <w:r w:rsidDel="00000000" w:rsidR="00000000" w:rsidRPr="00000000">
          <w:rPr>
            <w:rFonts w:ascii="Arial" w:cs="Arial" w:eastAsia="Arial" w:hAnsi="Arial"/>
            <w:i w:val="1"/>
            <w:iCs w:val="1"/>
            <w:sz w:val="20"/>
            <w:szCs w:val="20"/>
            <w:rtl w:val="0"/>
          </w:rPr>
          <w:t xml:space="preserve">článkem 12 Úmluvy OSN o právech dítěte (UNCRC), </w:t>
        </w:r>
      </w:hyperlink>
      <w:hyperlink r:id="rId10">
        <w:r w:rsidDel="00000000" w:rsidR="00000000" w:rsidRPr="00000000">
          <w:rPr>
            <w:rFonts w:ascii="Arial" w:cs="Arial" w:eastAsia="Arial" w:hAnsi="Arial"/>
            <w:i w:val="1"/>
            <w:iCs w:val="1"/>
            <w:sz w:val="20"/>
            <w:szCs w:val="20"/>
            <w:rtl w:val="0"/>
          </w:rPr>
          <w:t xml:space="preserve">strategií EU v oblasti práv dítěte 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 dalšími mezinárodními a evropskými právními normami. Cílem projektu je podpořit účinné uplatňování práva dětí být vyslechnuty a účastnit se soudních řízení v souladu se strategií EU v oblasti práv dítěte prostřednictvím vzájemné výměny zkušeností mezi právníky a právničkami  ze pěti zemí EU (Rakouska, České republiky, Malty, Nizozemska a Slovenska).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Kulatý stůl je organizován v souladu s hodnotami udržitelnosti a etické odpovědnosti vůči zvířatům. Z těchto důvodů bude po celou dobu akce podáváno výhradně veganské občerstvení, které je šetrnější k životnímu prostředí a minimalizující utrpení zvířat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left"/>
      <w:rPr>
        <w:rFonts w:ascii="Arial" w:cs="Arial" w:eastAsia="Arial" w:hAnsi="Arial"/>
        <w:b w:val="1"/>
        <w:bCs w:val="1"/>
        <w:sz w:val="32"/>
        <w:szCs w:val="3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left"/>
      <w:rPr>
        <w:rFonts w:ascii="Arial" w:cs="Arial" w:eastAsia="Arial" w:hAnsi="Arial"/>
        <w:b w:val="1"/>
        <w:bCs w:val="1"/>
        <w:sz w:val="32"/>
        <w:szCs w:val="3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jc w:val="center"/>
      <w:rPr>
        <w:rFonts w:ascii="Arial" w:cs="Arial" w:eastAsia="Arial" w:hAnsi="Arial"/>
        <w:b w:val="1"/>
        <w:bCs w:val="1"/>
        <w:sz w:val="32"/>
        <w:szCs w:val="32"/>
        <w:highlight w:val="whit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drawing>
        <wp:inline distB="114300" distT="114300" distL="114300" distR="114300">
          <wp:extent cx="571818" cy="571818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818" cy="5718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</w:t>
    </w:r>
    <w:r w:rsidDel="00000000" w:rsidR="00000000" w:rsidRPr="00000000">
      <w:rPr/>
      <w:drawing>
        <wp:inline distB="114300" distT="114300" distL="114300" distR="114300">
          <wp:extent cx="889488" cy="578167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488" cy="5781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</w:t>
    </w:r>
    <w:r w:rsidDel="00000000" w:rsidR="00000000" w:rsidRPr="00000000">
      <w:rPr/>
      <w:drawing>
        <wp:inline distB="114300" distT="114300" distL="114300" distR="114300">
          <wp:extent cx="1219517" cy="571382"/>
          <wp:effectExtent b="0" l="0" r="0" t="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71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171892" cy="577329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892" cy="5773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</w:t>
    </w:r>
    <w:r w:rsidDel="00000000" w:rsidR="00000000" w:rsidRPr="00000000">
      <w:rPr/>
      <w:drawing>
        <wp:inline distB="114300" distT="114300" distL="114300" distR="114300">
          <wp:extent cx="455255" cy="587692"/>
          <wp:effectExtent b="0" l="0" r="0" t="0"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5255" cy="5876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9F23BE"/>
    <w:pPr>
      <w:numPr>
        <w:numId w:val="1"/>
      </w:numPr>
      <w:contextualSpacing w:val="1"/>
    </w:pPr>
    <w:rPr>
      <w:rFonts w:ascii="Verdana" w:cs="Times New Roman" w:eastAsia="Times New Roman" w:hAnsi="Verdana"/>
      <w:b w:val="1"/>
      <w:sz w:val="20"/>
      <w:szCs w:val="20"/>
      <w:lang w:eastAsia="cs-CZ" w:val="en-GB"/>
    </w:rPr>
  </w:style>
  <w:style w:type="character" w:styleId="Hypertextovodkaz">
    <w:name w:val="Hyperlink"/>
    <w:basedOn w:val="Standardnpsmoodstavce"/>
    <w:uiPriority w:val="99"/>
    <w:unhideWhenUsed w:val="1"/>
    <w:rsid w:val="00B559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9E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commission.europa.eu/document/download/86b296ab-95ee-4139-aad3-d7016e096195_en?filename=EU%20Strategy%20on%20the%20Rights%20of%20the%20Child%20-%20Illustrated%20version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hchr.org/en/instruments-mechanisms/instruments/convention-rights-child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forumhr.eu/cs/voice-project-2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1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0md1Bn7Lo6fm/0UwRB/HrxJNiA==">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2025-11-25T20:42:00Z</dcterms:created>
  <dc:creator>Anna Hofschneiderová</dc:creator>
</cp:coreProperties>
</file>