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F7E5" w14:textId="77777777" w:rsidR="00D43E19" w:rsidRDefault="00D43E19" w:rsidP="00D43E19">
      <w:pPr>
        <w:jc w:val="center"/>
        <w:rPr>
          <w:rFonts w:eastAsia="Times New Roman" w:cstheme="minorHAnsi"/>
          <w:b/>
          <w:bCs/>
          <w:lang w:val="en-GB" w:eastAsia="en-GB"/>
        </w:rPr>
      </w:pPr>
    </w:p>
    <w:p w14:paraId="7DCD1E83" w14:textId="24788D28" w:rsidR="00E001BD" w:rsidRPr="00EF6335" w:rsidRDefault="00EF6335" w:rsidP="00D43E19">
      <w:pPr>
        <w:jc w:val="center"/>
        <w:rPr>
          <w:rFonts w:eastAsia="Times New Roman" w:cstheme="minorHAnsi"/>
          <w:b/>
          <w:bCs/>
          <w:lang w:val="en-GB" w:eastAsia="en-GB"/>
        </w:rPr>
      </w:pPr>
      <w:r w:rsidRPr="00EF6335">
        <w:rPr>
          <w:rFonts w:eastAsia="Times New Roman" w:cstheme="minorHAnsi"/>
          <w:b/>
          <w:bCs/>
          <w:lang w:val="en-GB" w:eastAsia="en-GB"/>
        </w:rPr>
        <w:t>R</w:t>
      </w:r>
      <w:r w:rsidRPr="005A5D53">
        <w:rPr>
          <w:rFonts w:eastAsia="Times New Roman" w:cstheme="minorHAnsi"/>
          <w:lang w:val="en-GB" w:eastAsia="en-GB"/>
        </w:rPr>
        <w:t xml:space="preserve">ule </w:t>
      </w:r>
      <w:r w:rsidRPr="00EF6335">
        <w:rPr>
          <w:rFonts w:eastAsia="Times New Roman" w:cstheme="minorHAnsi"/>
          <w:b/>
          <w:bCs/>
          <w:lang w:val="en-GB" w:eastAsia="en-GB"/>
        </w:rPr>
        <w:t>O</w:t>
      </w:r>
      <w:r w:rsidRPr="005A5D53">
        <w:rPr>
          <w:rFonts w:eastAsia="Times New Roman" w:cstheme="minorHAnsi"/>
          <w:lang w:val="en-GB" w:eastAsia="en-GB"/>
        </w:rPr>
        <w:t xml:space="preserve">f </w:t>
      </w:r>
      <w:r w:rsidRPr="00EF6335">
        <w:rPr>
          <w:rFonts w:eastAsia="Times New Roman" w:cstheme="minorHAnsi"/>
          <w:b/>
          <w:bCs/>
          <w:lang w:val="en-GB" w:eastAsia="en-GB"/>
        </w:rPr>
        <w:t>L</w:t>
      </w:r>
      <w:r w:rsidRPr="005A5D53">
        <w:rPr>
          <w:rFonts w:eastAsia="Times New Roman" w:cstheme="minorHAnsi"/>
          <w:lang w:val="en-GB" w:eastAsia="en-GB"/>
        </w:rPr>
        <w:t>aw</w:t>
      </w:r>
      <w:r w:rsidRPr="00EF6335">
        <w:rPr>
          <w:rFonts w:eastAsia="Times New Roman" w:cstheme="minorHAnsi"/>
          <w:b/>
          <w:bCs/>
          <w:lang w:val="en-GB" w:eastAsia="en-GB"/>
        </w:rPr>
        <w:t xml:space="preserve"> </w:t>
      </w:r>
      <w:r w:rsidRPr="005A5D53">
        <w:rPr>
          <w:rFonts w:eastAsia="Times New Roman" w:cstheme="minorHAnsi"/>
          <w:lang w:val="en-GB" w:eastAsia="en-GB"/>
        </w:rPr>
        <w:t>for</w:t>
      </w:r>
      <w:r w:rsidRPr="00EF6335">
        <w:rPr>
          <w:rFonts w:eastAsia="Times New Roman" w:cstheme="minorHAnsi"/>
          <w:b/>
          <w:bCs/>
          <w:lang w:val="en-GB" w:eastAsia="en-GB"/>
        </w:rPr>
        <w:t xml:space="preserve"> L</w:t>
      </w:r>
      <w:r w:rsidRPr="005A5D53">
        <w:rPr>
          <w:rFonts w:eastAsia="Times New Roman" w:cstheme="minorHAnsi"/>
          <w:lang w:val="en-GB" w:eastAsia="en-GB"/>
        </w:rPr>
        <w:t>awyers</w:t>
      </w:r>
      <w:r w:rsidRPr="00E001BD">
        <w:rPr>
          <w:rFonts w:eastAsia="Times New Roman" w:cstheme="minorHAnsi"/>
          <w:lang w:val="en-GB" w:eastAsia="en-GB"/>
        </w:rPr>
        <w:t xml:space="preserve"> </w:t>
      </w:r>
      <w:r w:rsidRPr="00E001BD">
        <w:rPr>
          <w:rFonts w:eastAsia="Times New Roman" w:cstheme="minorHAnsi"/>
          <w:b/>
          <w:bCs/>
          <w:lang w:val="en-GB" w:eastAsia="en-GB"/>
        </w:rPr>
        <w:t>(</w:t>
      </w:r>
      <w:r w:rsidRPr="00EF6335">
        <w:rPr>
          <w:rFonts w:eastAsia="Times New Roman" w:cstheme="minorHAnsi"/>
          <w:b/>
          <w:bCs/>
          <w:lang w:val="en-GB" w:eastAsia="en-GB"/>
        </w:rPr>
        <w:t>ROLL</w:t>
      </w:r>
      <w:r w:rsidRPr="00E001BD">
        <w:rPr>
          <w:rFonts w:eastAsia="Times New Roman" w:cstheme="minorHAnsi"/>
          <w:b/>
          <w:bCs/>
          <w:lang w:val="en-GB" w:eastAsia="en-GB"/>
        </w:rPr>
        <w:t>)</w:t>
      </w:r>
      <w:r w:rsidRPr="00EF6335">
        <w:rPr>
          <w:rFonts w:eastAsia="Times New Roman" w:cstheme="minorHAnsi"/>
          <w:b/>
          <w:bCs/>
          <w:lang w:val="en-GB" w:eastAsia="en-GB"/>
        </w:rPr>
        <w:t xml:space="preserve"> </w:t>
      </w:r>
      <w:r w:rsidRPr="005A5D53">
        <w:rPr>
          <w:rFonts w:eastAsia="Times New Roman" w:cstheme="minorHAnsi"/>
          <w:lang w:val="en-GB" w:eastAsia="en-GB"/>
        </w:rPr>
        <w:t>project</w:t>
      </w:r>
    </w:p>
    <w:p w14:paraId="754BFD8E" w14:textId="77777777" w:rsidR="00EF6335" w:rsidRPr="00EF6335" w:rsidRDefault="00EF6335" w:rsidP="00D43E19">
      <w:pPr>
        <w:jc w:val="both"/>
        <w:rPr>
          <w:rFonts w:cstheme="minorHAnsi"/>
          <w:lang w:val="en-GB"/>
        </w:rPr>
      </w:pPr>
    </w:p>
    <w:p w14:paraId="745F81A6" w14:textId="7C7F6C68" w:rsidR="00E001BD" w:rsidRPr="00EF6335" w:rsidRDefault="00E001BD" w:rsidP="00D43E19">
      <w:pPr>
        <w:jc w:val="both"/>
        <w:rPr>
          <w:rFonts w:eastAsia="Times New Roman" w:cstheme="minorHAnsi"/>
          <w:lang w:val="en-GB" w:eastAsia="en-GB"/>
        </w:rPr>
      </w:pPr>
      <w:r w:rsidRPr="00E001BD">
        <w:rPr>
          <w:rFonts w:eastAsia="Times New Roman" w:cstheme="minorHAnsi"/>
          <w:lang w:val="en-GB" w:eastAsia="en-GB"/>
        </w:rPr>
        <w:t xml:space="preserve">As of </w:t>
      </w:r>
      <w:r w:rsidRPr="00EF6335">
        <w:rPr>
          <w:rFonts w:eastAsia="Times New Roman" w:cstheme="minorHAnsi"/>
          <w:lang w:val="en-GB" w:eastAsia="en-GB"/>
        </w:rPr>
        <w:t>16 January</w:t>
      </w:r>
      <w:r w:rsidRPr="00E001BD">
        <w:rPr>
          <w:rFonts w:eastAsia="Times New Roman" w:cstheme="minorHAnsi"/>
          <w:lang w:val="en-GB" w:eastAsia="en-GB"/>
        </w:rPr>
        <w:t xml:space="preserve"> 202</w:t>
      </w:r>
      <w:r w:rsidRPr="00EF6335">
        <w:rPr>
          <w:rFonts w:eastAsia="Times New Roman" w:cstheme="minorHAnsi"/>
          <w:lang w:val="en-GB" w:eastAsia="en-GB"/>
        </w:rPr>
        <w:t>3</w:t>
      </w:r>
      <w:r w:rsidRPr="00E001BD">
        <w:rPr>
          <w:rFonts w:eastAsia="Times New Roman" w:cstheme="minorHAnsi"/>
          <w:lang w:val="en-GB" w:eastAsia="en-GB"/>
        </w:rPr>
        <w:t xml:space="preserve">, the ICJ-EI is implementing a two-year project </w:t>
      </w:r>
      <w:r w:rsidRPr="00EF6335">
        <w:rPr>
          <w:rFonts w:eastAsia="Times New Roman" w:cstheme="minorHAnsi"/>
          <w:lang w:val="en-GB" w:eastAsia="en-GB"/>
        </w:rPr>
        <w:t xml:space="preserve">„Rule </w:t>
      </w:r>
      <w:proofErr w:type="gramStart"/>
      <w:r w:rsidRPr="00EF6335">
        <w:rPr>
          <w:rFonts w:eastAsia="Times New Roman" w:cstheme="minorHAnsi"/>
          <w:lang w:val="en-GB" w:eastAsia="en-GB"/>
        </w:rPr>
        <w:t>Of</w:t>
      </w:r>
      <w:proofErr w:type="gramEnd"/>
      <w:r w:rsidRPr="00EF6335">
        <w:rPr>
          <w:rFonts w:eastAsia="Times New Roman" w:cstheme="minorHAnsi"/>
          <w:lang w:val="en-GB" w:eastAsia="en-GB"/>
        </w:rPr>
        <w:t xml:space="preserve"> Law for Lawyers</w:t>
      </w:r>
      <w:r w:rsidRPr="00E001BD">
        <w:rPr>
          <w:rFonts w:eastAsia="Times New Roman" w:cstheme="minorHAnsi"/>
          <w:lang w:val="en-GB" w:eastAsia="en-GB"/>
        </w:rPr>
        <w:t xml:space="preserve"> (</w:t>
      </w:r>
      <w:r w:rsidRPr="0041705A">
        <w:rPr>
          <w:rFonts w:eastAsia="Times New Roman" w:cstheme="minorHAnsi"/>
          <w:lang w:val="en-GB" w:eastAsia="en-GB"/>
        </w:rPr>
        <w:t>ROLL</w:t>
      </w:r>
      <w:r w:rsidRPr="00E001BD">
        <w:rPr>
          <w:rFonts w:eastAsia="Times New Roman" w:cstheme="minorHAnsi"/>
          <w:lang w:val="en-GB" w:eastAsia="en-GB"/>
        </w:rPr>
        <w:t xml:space="preserve">)” seeking to promote </w:t>
      </w:r>
      <w:r w:rsidRPr="0041705A">
        <w:rPr>
          <w:rFonts w:eastAsia="Times New Roman" w:cstheme="minorHAnsi"/>
          <w:lang w:val="en-GB" w:eastAsia="en-GB"/>
        </w:rPr>
        <w:t>independent and effective judicial system to protect</w:t>
      </w:r>
      <w:r w:rsidRPr="00EF6335">
        <w:rPr>
          <w:rFonts w:eastAsia="Times New Roman" w:cstheme="minorHAnsi"/>
          <w:lang w:val="en-GB" w:eastAsia="en-GB"/>
        </w:rPr>
        <w:t xml:space="preserve"> fundamental rights by strengthening the knowledge and ability of lawyers and </w:t>
      </w:r>
      <w:r w:rsidRPr="00EF6335">
        <w:rPr>
          <w:rFonts w:eastAsia="Times New Roman" w:cstheme="minorHAnsi"/>
          <w:lang w:val="en-GB" w:eastAsia="en-GB"/>
        </w:rPr>
        <w:t>civil society organization</w:t>
      </w:r>
      <w:r w:rsidRPr="00EF6335">
        <w:rPr>
          <w:rFonts w:eastAsia="Times New Roman" w:cstheme="minorHAnsi"/>
          <w:lang w:val="en-GB" w:eastAsia="en-GB"/>
        </w:rPr>
        <w:t>s</w:t>
      </w:r>
      <w:r w:rsidR="00EF6335" w:rsidRPr="00EF6335">
        <w:rPr>
          <w:rFonts w:eastAsia="Times New Roman" w:cstheme="minorHAnsi"/>
          <w:lang w:val="en-GB" w:eastAsia="en-GB"/>
        </w:rPr>
        <w:t xml:space="preserve"> (CSOs)</w:t>
      </w:r>
      <w:r w:rsidRPr="00EF6335">
        <w:rPr>
          <w:rFonts w:eastAsia="Times New Roman" w:cstheme="minorHAnsi"/>
          <w:lang w:val="en-GB" w:eastAsia="en-GB"/>
        </w:rPr>
        <w:t xml:space="preserve"> in national and European strategic litigation</w:t>
      </w:r>
      <w:r w:rsidRPr="00EF6335">
        <w:rPr>
          <w:rFonts w:eastAsia="Times New Roman" w:cstheme="minorHAnsi"/>
          <w:lang w:val="en-GB" w:eastAsia="en-GB"/>
        </w:rPr>
        <w:t xml:space="preserve">. </w:t>
      </w:r>
    </w:p>
    <w:p w14:paraId="67038D50" w14:textId="0F4A1D88" w:rsidR="00E001BD" w:rsidRPr="00EF6335" w:rsidRDefault="00E001BD" w:rsidP="00D43E19">
      <w:pPr>
        <w:jc w:val="both"/>
        <w:rPr>
          <w:rFonts w:eastAsia="Times New Roman" w:cstheme="minorHAnsi"/>
          <w:lang w:val="en-GB" w:eastAsia="en-GB"/>
        </w:rPr>
      </w:pPr>
    </w:p>
    <w:p w14:paraId="5F8EB54C" w14:textId="33A9C620" w:rsidR="00E001BD" w:rsidRPr="00EF6335" w:rsidRDefault="00EF6335" w:rsidP="00D43E19">
      <w:pPr>
        <w:jc w:val="both"/>
        <w:rPr>
          <w:rFonts w:eastAsia="Times New Roman" w:cstheme="minorHAnsi"/>
          <w:lang w:val="en-GB" w:eastAsia="en-GB"/>
        </w:rPr>
      </w:pPr>
      <w:r w:rsidRPr="00EF6335">
        <w:rPr>
          <w:rFonts w:eastAsia="Times New Roman" w:cstheme="minorHAnsi"/>
          <w:lang w:val="en-GB" w:eastAsia="en-GB"/>
        </w:rPr>
        <w:t xml:space="preserve">Judicial independence which is under attack or under pressure in many EU countries is a gateway to protecting access to justice and human rights. This project </w:t>
      </w:r>
      <w:r w:rsidR="00E001BD" w:rsidRPr="00EF6335">
        <w:rPr>
          <w:rFonts w:eastAsia="Times New Roman" w:cstheme="minorHAnsi"/>
          <w:lang w:val="en-GB" w:eastAsia="en-GB"/>
        </w:rPr>
        <w:t xml:space="preserve">aims at fostering the effective use of strategic </w:t>
      </w:r>
      <w:r w:rsidRPr="00EF6335">
        <w:rPr>
          <w:rFonts w:eastAsia="Times New Roman" w:cstheme="minorHAnsi"/>
          <w:lang w:val="en-GB" w:eastAsia="en-GB"/>
        </w:rPr>
        <w:t>litigation</w:t>
      </w:r>
      <w:r w:rsidR="00E001BD" w:rsidRPr="00EF6335">
        <w:rPr>
          <w:rFonts w:eastAsia="Times New Roman" w:cstheme="minorHAnsi"/>
          <w:lang w:val="en-GB" w:eastAsia="en-GB"/>
        </w:rPr>
        <w:t xml:space="preserve"> </w:t>
      </w:r>
      <w:r w:rsidRPr="00EF6335">
        <w:rPr>
          <w:rFonts w:eastAsia="Times New Roman" w:cstheme="minorHAnsi"/>
          <w:lang w:val="en-GB" w:eastAsia="en-GB"/>
        </w:rPr>
        <w:t>to</w:t>
      </w:r>
      <w:r w:rsidR="00E001BD" w:rsidRPr="00EF6335">
        <w:rPr>
          <w:rFonts w:eastAsia="Times New Roman" w:cstheme="minorHAnsi"/>
          <w:lang w:val="en-GB" w:eastAsia="en-GB"/>
        </w:rPr>
        <w:t xml:space="preserve"> ensure access to judicial systems that are independent and effective through increasing the capacity of human rights lawyers and CSOs and enabling exchange of new and best practices among them, and through increasing the awareness and understanding of the importance and utility of the Rule of Law and use of strategic litigation to protect and promote it by national human</w:t>
      </w:r>
      <w:r w:rsidRPr="00EF6335">
        <w:rPr>
          <w:rFonts w:eastAsia="Times New Roman" w:cstheme="minorHAnsi"/>
          <w:lang w:val="en-GB" w:eastAsia="en-GB"/>
        </w:rPr>
        <w:t xml:space="preserve"> </w:t>
      </w:r>
      <w:r w:rsidR="00E001BD" w:rsidRPr="00EF6335">
        <w:rPr>
          <w:rFonts w:eastAsia="Times New Roman" w:cstheme="minorHAnsi"/>
          <w:lang w:val="en-GB" w:eastAsia="en-GB"/>
        </w:rPr>
        <w:t>rights institutes</w:t>
      </w:r>
      <w:r w:rsidRPr="00EF6335">
        <w:rPr>
          <w:rFonts w:eastAsia="Times New Roman" w:cstheme="minorHAnsi"/>
          <w:lang w:val="en-GB" w:eastAsia="en-GB"/>
        </w:rPr>
        <w:t xml:space="preserve"> (NHRI)</w:t>
      </w:r>
      <w:r w:rsidR="00E001BD" w:rsidRPr="00EF6335">
        <w:rPr>
          <w:rFonts w:eastAsia="Times New Roman" w:cstheme="minorHAnsi"/>
          <w:lang w:val="en-GB" w:eastAsia="en-GB"/>
        </w:rPr>
        <w:t xml:space="preserve">, lawyers and law students. </w:t>
      </w:r>
    </w:p>
    <w:p w14:paraId="792A8191" w14:textId="77777777" w:rsidR="00E001BD" w:rsidRPr="00EF6335" w:rsidRDefault="00E001BD" w:rsidP="00D43E19">
      <w:pPr>
        <w:jc w:val="both"/>
        <w:rPr>
          <w:rFonts w:eastAsia="Times New Roman" w:cstheme="minorHAnsi"/>
          <w:lang w:val="en-GB" w:eastAsia="en-GB"/>
        </w:rPr>
      </w:pPr>
    </w:p>
    <w:p w14:paraId="5F40FB23" w14:textId="0023892E" w:rsidR="00E001BD" w:rsidRPr="00EF6335" w:rsidRDefault="00E001BD" w:rsidP="00D43E19">
      <w:pPr>
        <w:jc w:val="both"/>
        <w:rPr>
          <w:rFonts w:eastAsia="Times New Roman" w:cstheme="minorHAnsi"/>
          <w:lang w:val="en-GB" w:eastAsia="en-GB"/>
        </w:rPr>
      </w:pPr>
      <w:r w:rsidRPr="00E001BD">
        <w:rPr>
          <w:rFonts w:eastAsia="Times New Roman" w:cstheme="minorHAnsi"/>
          <w:lang w:val="en-GB" w:eastAsia="en-GB"/>
        </w:rPr>
        <w:t xml:space="preserve">The project targets </w:t>
      </w:r>
      <w:r w:rsidRPr="00EF6335">
        <w:rPr>
          <w:rFonts w:eastAsia="Times New Roman" w:cstheme="minorHAnsi"/>
          <w:lang w:val="en-GB" w:eastAsia="en-GB"/>
        </w:rPr>
        <w:t>eight</w:t>
      </w:r>
      <w:r w:rsidRPr="00E001BD">
        <w:rPr>
          <w:rFonts w:eastAsia="Times New Roman" w:cstheme="minorHAnsi"/>
          <w:lang w:val="en-GB" w:eastAsia="en-GB"/>
        </w:rPr>
        <w:t xml:space="preserve"> focus countries – </w:t>
      </w:r>
      <w:r w:rsidRPr="00EF6335">
        <w:rPr>
          <w:rFonts w:eastAsia="Times New Roman" w:cstheme="minorHAnsi"/>
          <w:lang w:val="en-GB" w:eastAsia="en-GB"/>
        </w:rPr>
        <w:t xml:space="preserve">Hungary, Poland, Romania, Bulgaria, Czechia, Slovakia, </w:t>
      </w:r>
      <w:r w:rsidRPr="00E001BD">
        <w:rPr>
          <w:rFonts w:eastAsia="Times New Roman" w:cstheme="minorHAnsi"/>
          <w:lang w:val="en-GB" w:eastAsia="en-GB"/>
        </w:rPr>
        <w:t>Malta</w:t>
      </w:r>
      <w:r w:rsidRPr="00EF6335">
        <w:rPr>
          <w:rFonts w:eastAsia="Times New Roman" w:cstheme="minorHAnsi"/>
          <w:lang w:val="en-GB" w:eastAsia="en-GB"/>
        </w:rPr>
        <w:t xml:space="preserve"> and</w:t>
      </w:r>
      <w:r w:rsidRPr="00E001BD">
        <w:rPr>
          <w:rFonts w:eastAsia="Times New Roman" w:cstheme="minorHAnsi"/>
          <w:lang w:val="en-GB" w:eastAsia="en-GB"/>
        </w:rPr>
        <w:t xml:space="preserve"> </w:t>
      </w:r>
      <w:r w:rsidRPr="00EF6335">
        <w:rPr>
          <w:rFonts w:eastAsia="Times New Roman" w:cstheme="minorHAnsi"/>
          <w:lang w:val="en-GB" w:eastAsia="en-GB"/>
        </w:rPr>
        <w:t>Spain</w:t>
      </w:r>
      <w:r w:rsidRPr="00E001BD">
        <w:rPr>
          <w:rFonts w:eastAsia="Times New Roman" w:cstheme="minorHAnsi"/>
          <w:lang w:val="en-GB" w:eastAsia="en-GB"/>
        </w:rPr>
        <w:t xml:space="preserve">. It is implemented in collaboration with national partner organisations: </w:t>
      </w:r>
      <w:proofErr w:type="spellStart"/>
      <w:r w:rsidRPr="00EF6335">
        <w:rPr>
          <w:rFonts w:eastAsia="Times New Roman" w:cstheme="minorHAnsi"/>
          <w:lang w:val="en-GB" w:eastAsia="en-GB"/>
        </w:rPr>
        <w:t>a</w:t>
      </w:r>
      <w:r w:rsidRPr="00E001BD">
        <w:rPr>
          <w:rFonts w:eastAsia="Times New Roman" w:cstheme="minorHAnsi"/>
          <w:lang w:val="en-GB" w:eastAsia="en-GB"/>
        </w:rPr>
        <w:t>ditus</w:t>
      </w:r>
      <w:proofErr w:type="spellEnd"/>
      <w:r w:rsidRPr="00E001BD">
        <w:rPr>
          <w:rFonts w:eastAsia="Times New Roman" w:cstheme="minorHAnsi"/>
          <w:lang w:val="en-GB" w:eastAsia="en-GB"/>
        </w:rPr>
        <w:t xml:space="preserve"> (Malta), </w:t>
      </w:r>
      <w:r w:rsidRPr="00EF6335">
        <w:rPr>
          <w:rFonts w:eastAsia="Times New Roman" w:cstheme="minorHAnsi"/>
          <w:lang w:val="en-GB" w:eastAsia="en-GB"/>
        </w:rPr>
        <w:t>Forum for Human Rights</w:t>
      </w:r>
      <w:r w:rsidRPr="00E001BD">
        <w:rPr>
          <w:rFonts w:eastAsia="Times New Roman" w:cstheme="minorHAnsi"/>
          <w:lang w:val="en-GB" w:eastAsia="en-GB"/>
        </w:rPr>
        <w:t xml:space="preserve"> (</w:t>
      </w:r>
      <w:r w:rsidRPr="00EF6335">
        <w:rPr>
          <w:rFonts w:eastAsia="Times New Roman" w:cstheme="minorHAnsi"/>
          <w:lang w:val="en-GB" w:eastAsia="en-GB"/>
        </w:rPr>
        <w:t>Czechia and Slovakia</w:t>
      </w:r>
      <w:r w:rsidRPr="00E001BD">
        <w:rPr>
          <w:rFonts w:eastAsia="Times New Roman" w:cstheme="minorHAnsi"/>
          <w:lang w:val="en-GB" w:eastAsia="en-GB"/>
        </w:rPr>
        <w:t xml:space="preserve">), </w:t>
      </w:r>
      <w:r w:rsidRPr="00EF6335">
        <w:rPr>
          <w:rFonts w:eastAsia="Times New Roman" w:cstheme="minorHAnsi"/>
          <w:lang w:val="en-GB" w:eastAsia="en-GB"/>
        </w:rPr>
        <w:t>Free Courts</w:t>
      </w:r>
      <w:r w:rsidRPr="00E001BD">
        <w:rPr>
          <w:rFonts w:eastAsia="Times New Roman" w:cstheme="minorHAnsi"/>
          <w:lang w:val="en-GB" w:eastAsia="en-GB"/>
        </w:rPr>
        <w:t xml:space="preserve"> (Poland), </w:t>
      </w:r>
      <w:r w:rsidRPr="00EF6335">
        <w:rPr>
          <w:rFonts w:eastAsia="Times New Roman" w:cstheme="minorHAnsi"/>
          <w:lang w:val="en-GB" w:eastAsia="en-GB"/>
        </w:rPr>
        <w:t xml:space="preserve">in close cooperation with Helen Duffy from Human Rights in Practice </w:t>
      </w:r>
      <w:r w:rsidRPr="00E001BD">
        <w:rPr>
          <w:rFonts w:eastAsia="Times New Roman" w:cstheme="minorHAnsi"/>
          <w:lang w:val="en-GB" w:eastAsia="en-GB"/>
        </w:rPr>
        <w:t xml:space="preserve">and supported by the participation of the </w:t>
      </w:r>
      <w:r w:rsidRPr="00EF6335">
        <w:rPr>
          <w:rFonts w:eastAsia="Times New Roman" w:cstheme="minorHAnsi"/>
          <w:lang w:val="en-GB" w:eastAsia="en-GB"/>
        </w:rPr>
        <w:t>Romanian National human rights institution</w:t>
      </w:r>
      <w:r w:rsidRPr="00E001BD">
        <w:rPr>
          <w:rFonts w:eastAsia="Times New Roman" w:cstheme="minorHAnsi"/>
          <w:lang w:val="en-GB" w:eastAsia="en-GB"/>
        </w:rPr>
        <w:t>.</w:t>
      </w:r>
    </w:p>
    <w:p w14:paraId="6E5269D9" w14:textId="6AB3A4A0" w:rsidR="00EF6335" w:rsidRPr="00EF6335" w:rsidRDefault="00EF6335" w:rsidP="00D43E19">
      <w:pPr>
        <w:jc w:val="both"/>
        <w:rPr>
          <w:rFonts w:eastAsia="Times New Roman" w:cstheme="minorHAnsi"/>
          <w:lang w:val="en-GB" w:eastAsia="en-GB"/>
        </w:rPr>
      </w:pPr>
    </w:p>
    <w:p w14:paraId="7B019439" w14:textId="7D0E30F1" w:rsidR="00EF6335" w:rsidRPr="00EF6335" w:rsidRDefault="00EF6335" w:rsidP="00D43E19">
      <w:pPr>
        <w:jc w:val="both"/>
        <w:rPr>
          <w:rFonts w:cstheme="minorHAnsi"/>
          <w:lang w:val="en-GB"/>
        </w:rPr>
      </w:pPr>
      <w:r w:rsidRPr="00EF6335">
        <w:rPr>
          <w:rFonts w:eastAsia="Times New Roman" w:cstheme="minorHAnsi"/>
          <w:lang w:val="en-GB" w:eastAsia="en-GB"/>
        </w:rPr>
        <w:t>The first</w:t>
      </w:r>
      <w:r w:rsidR="005A5D53">
        <w:rPr>
          <w:rFonts w:eastAsia="Times New Roman" w:cstheme="minorHAnsi"/>
          <w:lang w:val="en-GB" w:eastAsia="en-GB"/>
        </w:rPr>
        <w:t>-</w:t>
      </w:r>
      <w:r w:rsidRPr="00EF6335">
        <w:rPr>
          <w:rFonts w:eastAsia="Times New Roman" w:cstheme="minorHAnsi"/>
          <w:lang w:val="en-GB" w:eastAsia="en-GB"/>
        </w:rPr>
        <w:t xml:space="preserve">tier target group of the project are </w:t>
      </w:r>
      <w:r w:rsidRPr="00EF6335">
        <w:rPr>
          <w:rFonts w:eastAsia="Times New Roman" w:cstheme="minorHAnsi"/>
          <w:lang w:val="en-GB"/>
        </w:rPr>
        <w:t>l</w:t>
      </w:r>
      <w:r w:rsidRPr="00EF6335">
        <w:rPr>
          <w:rFonts w:eastAsia="Times New Roman" w:cstheme="minorHAnsi"/>
          <w:lang w:val="en-GB"/>
        </w:rPr>
        <w:t xml:space="preserve">egal </w:t>
      </w:r>
      <w:r w:rsidRPr="00EF6335">
        <w:rPr>
          <w:rFonts w:eastAsia="Times New Roman" w:cstheme="minorHAnsi"/>
          <w:lang w:val="en-GB"/>
        </w:rPr>
        <w:t>practitioners</w:t>
      </w:r>
      <w:r w:rsidRPr="00EF6335">
        <w:rPr>
          <w:rFonts w:eastAsia="Times New Roman" w:cstheme="minorHAnsi"/>
          <w:lang w:val="en-GB"/>
        </w:rPr>
        <w:t xml:space="preserve"> key to litigate </w:t>
      </w:r>
      <w:r w:rsidRPr="00EF6335">
        <w:rPr>
          <w:rFonts w:eastAsia="Times New Roman" w:cstheme="minorHAnsi"/>
          <w:lang w:val="en-GB"/>
        </w:rPr>
        <w:t>Rule of Law</w:t>
      </w:r>
      <w:r w:rsidRPr="00EF6335">
        <w:rPr>
          <w:rFonts w:eastAsia="Times New Roman" w:cstheme="minorHAnsi"/>
          <w:lang w:val="en-GB"/>
        </w:rPr>
        <w:t xml:space="preserve"> cases at national and European level</w:t>
      </w:r>
      <w:r w:rsidRPr="00EF6335">
        <w:rPr>
          <w:rFonts w:cstheme="minorHAnsi"/>
          <w:lang w:val="en-GB"/>
        </w:rPr>
        <w:t xml:space="preserve">, while second tier target group consists of </w:t>
      </w:r>
      <w:r w:rsidRPr="00EF6335">
        <w:rPr>
          <w:rFonts w:eastAsia="Times New Roman" w:cstheme="minorHAnsi"/>
          <w:lang w:val="en-GB" w:eastAsia="en-GB"/>
        </w:rPr>
        <w:t>NHRI, lawyers, law students</w:t>
      </w:r>
      <w:r w:rsidRPr="00EF6335">
        <w:rPr>
          <w:rFonts w:cstheme="minorHAnsi"/>
          <w:lang w:val="en-GB"/>
        </w:rPr>
        <w:t xml:space="preserve">. </w:t>
      </w:r>
      <w:r w:rsidRPr="00EF6335">
        <w:rPr>
          <w:rFonts w:eastAsia="Times New Roman" w:cstheme="minorHAnsi"/>
          <w:lang w:val="en-GB" w:eastAsia="en-GB"/>
        </w:rPr>
        <w:t xml:space="preserve">The specific focus of the project </w:t>
      </w:r>
      <w:proofErr w:type="gramStart"/>
      <w:r w:rsidRPr="00EF6335">
        <w:rPr>
          <w:rFonts w:eastAsia="Times New Roman" w:cstheme="minorHAnsi"/>
          <w:lang w:val="en-GB" w:eastAsia="en-GB"/>
        </w:rPr>
        <w:t>includes:</w:t>
      </w:r>
      <w:proofErr w:type="gramEnd"/>
      <w:r w:rsidRPr="00EF6335">
        <w:rPr>
          <w:rFonts w:eastAsia="Times New Roman" w:cstheme="minorHAnsi"/>
          <w:lang w:val="en-GB" w:eastAsia="en-GB"/>
        </w:rPr>
        <w:t xml:space="preserve"> i</w:t>
      </w:r>
      <w:r w:rsidRPr="00EF6335">
        <w:rPr>
          <w:rFonts w:eastAsia="Times New Roman" w:cstheme="minorHAnsi"/>
          <w:lang w:val="en-GB" w:eastAsia="en-GB"/>
        </w:rPr>
        <w:t xml:space="preserve">nstitutional independence of the judiciary and </w:t>
      </w:r>
      <w:proofErr w:type="spellStart"/>
      <w:r w:rsidRPr="00EF6335">
        <w:rPr>
          <w:rFonts w:eastAsia="Times New Roman" w:cstheme="minorHAnsi"/>
          <w:lang w:val="en-GB" w:eastAsia="en-GB"/>
        </w:rPr>
        <w:t>authonomy</w:t>
      </w:r>
      <w:proofErr w:type="spellEnd"/>
      <w:r w:rsidRPr="00EF6335">
        <w:rPr>
          <w:rFonts w:eastAsia="Times New Roman" w:cstheme="minorHAnsi"/>
          <w:lang w:val="en-GB" w:eastAsia="en-GB"/>
        </w:rPr>
        <w:t xml:space="preserve"> of the prosecution service, incl. </w:t>
      </w:r>
      <w:r w:rsidRPr="00EF6335">
        <w:rPr>
          <w:rFonts w:eastAsia="Times New Roman" w:cstheme="minorHAnsi"/>
          <w:lang w:val="en-GB" w:eastAsia="en-GB"/>
        </w:rPr>
        <w:t>g</w:t>
      </w:r>
      <w:r w:rsidRPr="00EF6335">
        <w:rPr>
          <w:rFonts w:eastAsia="Times New Roman" w:cstheme="minorHAnsi"/>
          <w:lang w:val="en-GB" w:eastAsia="en-GB"/>
        </w:rPr>
        <w:t>overnance structures and procedures</w:t>
      </w:r>
      <w:r w:rsidRPr="00EF6335">
        <w:rPr>
          <w:rFonts w:eastAsia="Times New Roman" w:cstheme="minorHAnsi"/>
          <w:lang w:val="en-GB" w:eastAsia="en-GB"/>
        </w:rPr>
        <w:t>, a</w:t>
      </w:r>
      <w:r w:rsidRPr="00EF6335">
        <w:rPr>
          <w:rFonts w:eastAsia="Times New Roman" w:cstheme="minorHAnsi"/>
          <w:lang w:val="en-GB" w:eastAsia="en-GB"/>
        </w:rPr>
        <w:t>ppointment procedures for the judiciary and prosecution and freedom of expression of judges</w:t>
      </w:r>
      <w:r w:rsidRPr="00EF6335">
        <w:rPr>
          <w:rFonts w:eastAsia="Times New Roman" w:cstheme="minorHAnsi"/>
          <w:lang w:val="en-GB" w:eastAsia="en-GB"/>
        </w:rPr>
        <w:t xml:space="preserve"> and d</w:t>
      </w:r>
      <w:r w:rsidRPr="00EF6335">
        <w:rPr>
          <w:rFonts w:eastAsia="Times New Roman" w:cstheme="minorHAnsi"/>
          <w:lang w:val="en-GB" w:eastAsia="en-GB"/>
        </w:rPr>
        <w:t xml:space="preserve">isciplinary procedures and accountability of judges and prosecutors and </w:t>
      </w:r>
      <w:proofErr w:type="spellStart"/>
      <w:r w:rsidRPr="00EF6335">
        <w:rPr>
          <w:rFonts w:eastAsia="Times New Roman" w:cstheme="minorHAnsi"/>
          <w:lang w:val="en-GB" w:eastAsia="en-GB"/>
        </w:rPr>
        <w:t>judical</w:t>
      </w:r>
      <w:proofErr w:type="spellEnd"/>
      <w:r w:rsidRPr="00EF6335">
        <w:rPr>
          <w:rFonts w:eastAsia="Times New Roman" w:cstheme="minorHAnsi"/>
          <w:lang w:val="en-GB" w:eastAsia="en-GB"/>
        </w:rPr>
        <w:t xml:space="preserve"> ethics and accountability. </w:t>
      </w:r>
    </w:p>
    <w:p w14:paraId="66BC35DE" w14:textId="0845A6DB" w:rsidR="00E001BD" w:rsidRPr="00EF6335" w:rsidRDefault="00E001BD" w:rsidP="00D43E19">
      <w:pPr>
        <w:jc w:val="both"/>
        <w:rPr>
          <w:rFonts w:cstheme="minorHAnsi"/>
          <w:lang w:val="en-GB"/>
        </w:rPr>
      </w:pPr>
    </w:p>
    <w:p w14:paraId="731EE6F6" w14:textId="4BB32830" w:rsidR="00E001BD" w:rsidRDefault="00E001BD" w:rsidP="00D43E19">
      <w:pPr>
        <w:jc w:val="both"/>
        <w:rPr>
          <w:rFonts w:cstheme="minorHAnsi"/>
          <w:lang w:val="en-GB"/>
        </w:rPr>
      </w:pPr>
      <w:r w:rsidRPr="00EF6335">
        <w:rPr>
          <w:rFonts w:cstheme="minorHAnsi"/>
          <w:lang w:val="en-GB"/>
        </w:rPr>
        <w:t>The project partners will throughout the project: (</w:t>
      </w:r>
      <w:proofErr w:type="spellStart"/>
      <w:r w:rsidRPr="00EF6335">
        <w:rPr>
          <w:rFonts w:cstheme="minorHAnsi"/>
          <w:lang w:val="en-GB"/>
        </w:rPr>
        <w:t>i</w:t>
      </w:r>
      <w:proofErr w:type="spellEnd"/>
      <w:r w:rsidRPr="00EF6335">
        <w:rPr>
          <w:rFonts w:cstheme="minorHAnsi"/>
          <w:lang w:val="en-GB"/>
        </w:rPr>
        <w:t>) publish a factsheet on the link between the EU Charter and the Rule of law, (ii) organize three capacity-building and Exchange workshops for lawyers and CSOs from the eight target countries, (iii) provide a set of mentoring sessions to lawyers, (iv) publish 10 series of a podcast on the Rule of Law and (v) publish the final Mapping Report with recommendations</w:t>
      </w:r>
      <w:r w:rsidR="00EF6335" w:rsidRPr="00EF6335">
        <w:rPr>
          <w:rFonts w:cstheme="minorHAnsi"/>
          <w:lang w:val="en-GB"/>
        </w:rPr>
        <w:t xml:space="preserve">. </w:t>
      </w:r>
    </w:p>
    <w:p w14:paraId="66CE2F9C" w14:textId="5DBCA356" w:rsidR="005A5D53" w:rsidRPr="005A5D53" w:rsidRDefault="005A5D53" w:rsidP="00D43E19">
      <w:pPr>
        <w:jc w:val="both"/>
        <w:rPr>
          <w:rFonts w:cstheme="minorHAnsi"/>
        </w:rPr>
      </w:pPr>
    </w:p>
    <w:sectPr w:rsidR="005A5D53" w:rsidRPr="005A5D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FDBD" w14:textId="77777777" w:rsidR="00844E30" w:rsidRDefault="00844E30" w:rsidP="005A5D53">
      <w:r>
        <w:separator/>
      </w:r>
    </w:p>
  </w:endnote>
  <w:endnote w:type="continuationSeparator" w:id="0">
    <w:p w14:paraId="04AF9497" w14:textId="77777777" w:rsidR="00844E30" w:rsidRDefault="00844E30" w:rsidP="005A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6F5" w14:textId="4B39E944" w:rsidR="005A5D53" w:rsidRDefault="005A5D53" w:rsidP="005A5D53">
    <w:pPr>
      <w:jc w:val="center"/>
      <w:rPr>
        <w:rFonts w:cstheme="minorHAnsi"/>
        <w:lang w:val="en-GB"/>
      </w:rPr>
    </w:pPr>
    <w:r>
      <w:rPr>
        <w:noProof/>
      </w:rPr>
      <w:drawing>
        <wp:inline distT="0" distB="0" distL="0" distR="0" wp14:anchorId="7BB11231" wp14:editId="3084487C">
          <wp:extent cx="489052" cy="320710"/>
          <wp:effectExtent l="0" t="0" r="6350" b="0"/>
          <wp:docPr id="3" name="Picture 3" descr="A blue flag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flag with yellow sta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8103" cy="333203"/>
                  </a:xfrm>
                  <a:prstGeom prst="rect">
                    <a:avLst/>
                  </a:prstGeom>
                </pic:spPr>
              </pic:pic>
            </a:graphicData>
          </a:graphic>
        </wp:inline>
      </w:drawing>
    </w:r>
  </w:p>
  <w:p w14:paraId="59FD45C3" w14:textId="7529449B" w:rsidR="005A5D53" w:rsidRPr="005A5D53" w:rsidRDefault="005A5D53" w:rsidP="005A5D53">
    <w:pPr>
      <w:jc w:val="center"/>
      <w:rPr>
        <w:rFonts w:ascii="Times New Roman" w:eastAsia="Times New Roman" w:hAnsi="Times New Roman" w:cs="Times New Roman"/>
        <w:lang w:eastAsia="en-GB"/>
      </w:rPr>
    </w:pPr>
    <w:r w:rsidRPr="005A5D53">
      <w:rPr>
        <w:rFonts w:ascii="Times New Roman" w:eastAsia="Times New Roman" w:hAnsi="Times New Roman" w:cs="Times New Roman"/>
        <w:color w:val="000000"/>
        <w:sz w:val="20"/>
        <w:szCs w:val="20"/>
        <w:lang w:eastAsia="en-GB"/>
      </w:rPr>
      <w:t>Funded by the European Union. 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AFF8" w14:textId="77777777" w:rsidR="00844E30" w:rsidRDefault="00844E30" w:rsidP="005A5D53">
      <w:r>
        <w:separator/>
      </w:r>
    </w:p>
  </w:footnote>
  <w:footnote w:type="continuationSeparator" w:id="0">
    <w:p w14:paraId="76E35024" w14:textId="77777777" w:rsidR="00844E30" w:rsidRDefault="00844E30" w:rsidP="005A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296" w14:textId="1977823C" w:rsidR="005A5D53" w:rsidRPr="005A5D53" w:rsidRDefault="005A5D53" w:rsidP="005A5D53">
    <w:pPr>
      <w:pStyle w:val="Header"/>
    </w:pPr>
    <w:r>
      <w:tab/>
    </w:r>
    <w:r>
      <w:tab/>
    </w:r>
    <w:r>
      <w:rPr>
        <w:rFonts w:cstheme="minorHAnsi"/>
        <w:noProof/>
      </w:rPr>
      <w:drawing>
        <wp:inline distT="0" distB="0" distL="0" distR="0" wp14:anchorId="16AB5080" wp14:editId="453BFC9E">
          <wp:extent cx="1161535" cy="683460"/>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737" cy="698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2E1"/>
    <w:multiLevelType w:val="hybridMultilevel"/>
    <w:tmpl w:val="F216FD3A"/>
    <w:lvl w:ilvl="0" w:tplc="5CF822F2">
      <w:start w:val="1"/>
      <w:numFmt w:val="decimal"/>
      <w:lvlText w:val="%1."/>
      <w:lvlJc w:val="left"/>
      <w:pPr>
        <w:tabs>
          <w:tab w:val="num" w:pos="720"/>
        </w:tabs>
        <w:ind w:left="720" w:hanging="360"/>
      </w:pPr>
    </w:lvl>
    <w:lvl w:ilvl="1" w:tplc="0F660B16" w:tentative="1">
      <w:start w:val="1"/>
      <w:numFmt w:val="decimal"/>
      <w:lvlText w:val="%2."/>
      <w:lvlJc w:val="left"/>
      <w:pPr>
        <w:tabs>
          <w:tab w:val="num" w:pos="1440"/>
        </w:tabs>
        <w:ind w:left="1440" w:hanging="360"/>
      </w:pPr>
    </w:lvl>
    <w:lvl w:ilvl="2" w:tplc="C51A2D92" w:tentative="1">
      <w:start w:val="1"/>
      <w:numFmt w:val="decimal"/>
      <w:lvlText w:val="%3."/>
      <w:lvlJc w:val="left"/>
      <w:pPr>
        <w:tabs>
          <w:tab w:val="num" w:pos="2160"/>
        </w:tabs>
        <w:ind w:left="2160" w:hanging="360"/>
      </w:pPr>
    </w:lvl>
    <w:lvl w:ilvl="3" w:tplc="AD369424" w:tentative="1">
      <w:start w:val="1"/>
      <w:numFmt w:val="decimal"/>
      <w:lvlText w:val="%4."/>
      <w:lvlJc w:val="left"/>
      <w:pPr>
        <w:tabs>
          <w:tab w:val="num" w:pos="2880"/>
        </w:tabs>
        <w:ind w:left="2880" w:hanging="360"/>
      </w:pPr>
    </w:lvl>
    <w:lvl w:ilvl="4" w:tplc="92A66692" w:tentative="1">
      <w:start w:val="1"/>
      <w:numFmt w:val="decimal"/>
      <w:lvlText w:val="%5."/>
      <w:lvlJc w:val="left"/>
      <w:pPr>
        <w:tabs>
          <w:tab w:val="num" w:pos="3600"/>
        </w:tabs>
        <w:ind w:left="3600" w:hanging="360"/>
      </w:pPr>
    </w:lvl>
    <w:lvl w:ilvl="5" w:tplc="4F82B0B8" w:tentative="1">
      <w:start w:val="1"/>
      <w:numFmt w:val="decimal"/>
      <w:lvlText w:val="%6."/>
      <w:lvlJc w:val="left"/>
      <w:pPr>
        <w:tabs>
          <w:tab w:val="num" w:pos="4320"/>
        </w:tabs>
        <w:ind w:left="4320" w:hanging="360"/>
      </w:pPr>
    </w:lvl>
    <w:lvl w:ilvl="6" w:tplc="0194E322" w:tentative="1">
      <w:start w:val="1"/>
      <w:numFmt w:val="decimal"/>
      <w:lvlText w:val="%7."/>
      <w:lvlJc w:val="left"/>
      <w:pPr>
        <w:tabs>
          <w:tab w:val="num" w:pos="5040"/>
        </w:tabs>
        <w:ind w:left="5040" w:hanging="360"/>
      </w:pPr>
    </w:lvl>
    <w:lvl w:ilvl="7" w:tplc="1CCC1564" w:tentative="1">
      <w:start w:val="1"/>
      <w:numFmt w:val="decimal"/>
      <w:lvlText w:val="%8."/>
      <w:lvlJc w:val="left"/>
      <w:pPr>
        <w:tabs>
          <w:tab w:val="num" w:pos="5760"/>
        </w:tabs>
        <w:ind w:left="5760" w:hanging="360"/>
      </w:pPr>
    </w:lvl>
    <w:lvl w:ilvl="8" w:tplc="19285C36" w:tentative="1">
      <w:start w:val="1"/>
      <w:numFmt w:val="decimal"/>
      <w:lvlText w:val="%9."/>
      <w:lvlJc w:val="left"/>
      <w:pPr>
        <w:tabs>
          <w:tab w:val="num" w:pos="6480"/>
        </w:tabs>
        <w:ind w:left="6480" w:hanging="360"/>
      </w:pPr>
    </w:lvl>
  </w:abstractNum>
  <w:abstractNum w:abstractNumId="1" w15:restartNumberingAfterBreak="0">
    <w:nsid w:val="29F13D54"/>
    <w:multiLevelType w:val="hybridMultilevel"/>
    <w:tmpl w:val="FBB860BC"/>
    <w:lvl w:ilvl="0" w:tplc="8682A6C0">
      <w:start w:val="1"/>
      <w:numFmt w:val="decimal"/>
      <w:lvlText w:val="%1)"/>
      <w:lvlJc w:val="left"/>
      <w:pPr>
        <w:tabs>
          <w:tab w:val="num" w:pos="720"/>
        </w:tabs>
        <w:ind w:left="720" w:hanging="360"/>
      </w:pPr>
    </w:lvl>
    <w:lvl w:ilvl="1" w:tplc="ABF6A420" w:tentative="1">
      <w:start w:val="1"/>
      <w:numFmt w:val="decimal"/>
      <w:lvlText w:val="%2)"/>
      <w:lvlJc w:val="left"/>
      <w:pPr>
        <w:tabs>
          <w:tab w:val="num" w:pos="1440"/>
        </w:tabs>
        <w:ind w:left="1440" w:hanging="360"/>
      </w:pPr>
    </w:lvl>
    <w:lvl w:ilvl="2" w:tplc="F6246F40" w:tentative="1">
      <w:start w:val="1"/>
      <w:numFmt w:val="decimal"/>
      <w:lvlText w:val="%3)"/>
      <w:lvlJc w:val="left"/>
      <w:pPr>
        <w:tabs>
          <w:tab w:val="num" w:pos="2160"/>
        </w:tabs>
        <w:ind w:left="2160" w:hanging="360"/>
      </w:pPr>
    </w:lvl>
    <w:lvl w:ilvl="3" w:tplc="42C4B56E" w:tentative="1">
      <w:start w:val="1"/>
      <w:numFmt w:val="decimal"/>
      <w:lvlText w:val="%4)"/>
      <w:lvlJc w:val="left"/>
      <w:pPr>
        <w:tabs>
          <w:tab w:val="num" w:pos="2880"/>
        </w:tabs>
        <w:ind w:left="2880" w:hanging="360"/>
      </w:pPr>
    </w:lvl>
    <w:lvl w:ilvl="4" w:tplc="D2A0FF02" w:tentative="1">
      <w:start w:val="1"/>
      <w:numFmt w:val="decimal"/>
      <w:lvlText w:val="%5)"/>
      <w:lvlJc w:val="left"/>
      <w:pPr>
        <w:tabs>
          <w:tab w:val="num" w:pos="3600"/>
        </w:tabs>
        <w:ind w:left="3600" w:hanging="360"/>
      </w:pPr>
    </w:lvl>
    <w:lvl w:ilvl="5" w:tplc="98FC753A" w:tentative="1">
      <w:start w:val="1"/>
      <w:numFmt w:val="decimal"/>
      <w:lvlText w:val="%6)"/>
      <w:lvlJc w:val="left"/>
      <w:pPr>
        <w:tabs>
          <w:tab w:val="num" w:pos="4320"/>
        </w:tabs>
        <w:ind w:left="4320" w:hanging="360"/>
      </w:pPr>
    </w:lvl>
    <w:lvl w:ilvl="6" w:tplc="AEE41678" w:tentative="1">
      <w:start w:val="1"/>
      <w:numFmt w:val="decimal"/>
      <w:lvlText w:val="%7)"/>
      <w:lvlJc w:val="left"/>
      <w:pPr>
        <w:tabs>
          <w:tab w:val="num" w:pos="5040"/>
        </w:tabs>
        <w:ind w:left="5040" w:hanging="360"/>
      </w:pPr>
    </w:lvl>
    <w:lvl w:ilvl="7" w:tplc="3BE8A032" w:tentative="1">
      <w:start w:val="1"/>
      <w:numFmt w:val="decimal"/>
      <w:lvlText w:val="%8)"/>
      <w:lvlJc w:val="left"/>
      <w:pPr>
        <w:tabs>
          <w:tab w:val="num" w:pos="5760"/>
        </w:tabs>
        <w:ind w:left="5760" w:hanging="360"/>
      </w:pPr>
    </w:lvl>
    <w:lvl w:ilvl="8" w:tplc="49300B30" w:tentative="1">
      <w:start w:val="1"/>
      <w:numFmt w:val="decimal"/>
      <w:lvlText w:val="%9)"/>
      <w:lvlJc w:val="left"/>
      <w:pPr>
        <w:tabs>
          <w:tab w:val="num" w:pos="6480"/>
        </w:tabs>
        <w:ind w:left="6480" w:hanging="360"/>
      </w:pPr>
    </w:lvl>
  </w:abstractNum>
  <w:num w:numId="1" w16cid:durableId="1821967115">
    <w:abstractNumId w:val="0"/>
  </w:num>
  <w:num w:numId="2" w16cid:durableId="179601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BD"/>
    <w:rsid w:val="0041705A"/>
    <w:rsid w:val="00536C73"/>
    <w:rsid w:val="005A5D53"/>
    <w:rsid w:val="00844E30"/>
    <w:rsid w:val="008C7F1A"/>
    <w:rsid w:val="00981EF0"/>
    <w:rsid w:val="00D0448C"/>
    <w:rsid w:val="00D35CE3"/>
    <w:rsid w:val="00D43E19"/>
    <w:rsid w:val="00E001BD"/>
    <w:rsid w:val="00EF6335"/>
    <w:rsid w:val="00F93A6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37E05E8"/>
  <w15:chartTrackingRefBased/>
  <w15:docId w15:val="{3900797D-D250-3846-A2C6-31CF451E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35"/>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A5D53"/>
    <w:pPr>
      <w:tabs>
        <w:tab w:val="center" w:pos="4513"/>
        <w:tab w:val="right" w:pos="9026"/>
      </w:tabs>
    </w:pPr>
  </w:style>
  <w:style w:type="character" w:customStyle="1" w:styleId="HeaderChar">
    <w:name w:val="Header Char"/>
    <w:basedOn w:val="DefaultParagraphFont"/>
    <w:link w:val="Header"/>
    <w:uiPriority w:val="99"/>
    <w:rsid w:val="005A5D53"/>
  </w:style>
  <w:style w:type="paragraph" w:styleId="Footer">
    <w:name w:val="footer"/>
    <w:basedOn w:val="Normal"/>
    <w:link w:val="FooterChar"/>
    <w:uiPriority w:val="99"/>
    <w:unhideWhenUsed/>
    <w:rsid w:val="005A5D53"/>
    <w:pPr>
      <w:tabs>
        <w:tab w:val="center" w:pos="4513"/>
        <w:tab w:val="right" w:pos="9026"/>
      </w:tabs>
    </w:pPr>
  </w:style>
  <w:style w:type="character" w:customStyle="1" w:styleId="FooterChar">
    <w:name w:val="Footer Char"/>
    <w:basedOn w:val="DefaultParagraphFont"/>
    <w:link w:val="Footer"/>
    <w:uiPriority w:val="99"/>
    <w:rsid w:val="005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9563">
      <w:bodyDiv w:val="1"/>
      <w:marLeft w:val="0"/>
      <w:marRight w:val="0"/>
      <w:marTop w:val="0"/>
      <w:marBottom w:val="0"/>
      <w:divBdr>
        <w:top w:val="none" w:sz="0" w:space="0" w:color="auto"/>
        <w:left w:val="none" w:sz="0" w:space="0" w:color="auto"/>
        <w:bottom w:val="none" w:sz="0" w:space="0" w:color="auto"/>
        <w:right w:val="none" w:sz="0" w:space="0" w:color="auto"/>
      </w:divBdr>
      <w:divsChild>
        <w:div w:id="1057900728">
          <w:marLeft w:val="547"/>
          <w:marRight w:val="0"/>
          <w:marTop w:val="200"/>
          <w:marBottom w:val="0"/>
          <w:divBdr>
            <w:top w:val="none" w:sz="0" w:space="0" w:color="auto"/>
            <w:left w:val="none" w:sz="0" w:space="0" w:color="auto"/>
            <w:bottom w:val="none" w:sz="0" w:space="0" w:color="auto"/>
            <w:right w:val="none" w:sz="0" w:space="0" w:color="auto"/>
          </w:divBdr>
        </w:div>
        <w:div w:id="611325152">
          <w:marLeft w:val="547"/>
          <w:marRight w:val="0"/>
          <w:marTop w:val="200"/>
          <w:marBottom w:val="0"/>
          <w:divBdr>
            <w:top w:val="none" w:sz="0" w:space="0" w:color="auto"/>
            <w:left w:val="none" w:sz="0" w:space="0" w:color="auto"/>
            <w:bottom w:val="none" w:sz="0" w:space="0" w:color="auto"/>
            <w:right w:val="none" w:sz="0" w:space="0" w:color="auto"/>
          </w:divBdr>
        </w:div>
        <w:div w:id="562638441">
          <w:marLeft w:val="547"/>
          <w:marRight w:val="0"/>
          <w:marTop w:val="200"/>
          <w:marBottom w:val="0"/>
          <w:divBdr>
            <w:top w:val="none" w:sz="0" w:space="0" w:color="auto"/>
            <w:left w:val="none" w:sz="0" w:space="0" w:color="auto"/>
            <w:bottom w:val="none" w:sz="0" w:space="0" w:color="auto"/>
            <w:right w:val="none" w:sz="0" w:space="0" w:color="auto"/>
          </w:divBdr>
        </w:div>
      </w:divsChild>
    </w:div>
    <w:div w:id="923221147">
      <w:bodyDiv w:val="1"/>
      <w:marLeft w:val="0"/>
      <w:marRight w:val="0"/>
      <w:marTop w:val="0"/>
      <w:marBottom w:val="0"/>
      <w:divBdr>
        <w:top w:val="none" w:sz="0" w:space="0" w:color="auto"/>
        <w:left w:val="none" w:sz="0" w:space="0" w:color="auto"/>
        <w:bottom w:val="none" w:sz="0" w:space="0" w:color="auto"/>
        <w:right w:val="none" w:sz="0" w:space="0" w:color="auto"/>
      </w:divBdr>
    </w:div>
    <w:div w:id="1218591723">
      <w:bodyDiv w:val="1"/>
      <w:marLeft w:val="0"/>
      <w:marRight w:val="0"/>
      <w:marTop w:val="0"/>
      <w:marBottom w:val="0"/>
      <w:divBdr>
        <w:top w:val="none" w:sz="0" w:space="0" w:color="auto"/>
        <w:left w:val="none" w:sz="0" w:space="0" w:color="auto"/>
        <w:bottom w:val="none" w:sz="0" w:space="0" w:color="auto"/>
        <w:right w:val="none" w:sz="0" w:space="0" w:color="auto"/>
      </w:divBdr>
    </w:div>
    <w:div w:id="1592737765">
      <w:bodyDiv w:val="1"/>
      <w:marLeft w:val="0"/>
      <w:marRight w:val="0"/>
      <w:marTop w:val="0"/>
      <w:marBottom w:val="0"/>
      <w:divBdr>
        <w:top w:val="none" w:sz="0" w:space="0" w:color="auto"/>
        <w:left w:val="none" w:sz="0" w:space="0" w:color="auto"/>
        <w:bottom w:val="none" w:sz="0" w:space="0" w:color="auto"/>
        <w:right w:val="none" w:sz="0" w:space="0" w:color="auto"/>
      </w:divBdr>
      <w:divsChild>
        <w:div w:id="1525362710">
          <w:marLeft w:val="547"/>
          <w:marRight w:val="0"/>
          <w:marTop w:val="0"/>
          <w:marBottom w:val="0"/>
          <w:divBdr>
            <w:top w:val="none" w:sz="0" w:space="0" w:color="auto"/>
            <w:left w:val="none" w:sz="0" w:space="0" w:color="auto"/>
            <w:bottom w:val="none" w:sz="0" w:space="0" w:color="auto"/>
            <w:right w:val="none" w:sz="0" w:space="0" w:color="auto"/>
          </w:divBdr>
        </w:div>
        <w:div w:id="1802381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Babicka</dc:creator>
  <cp:keywords/>
  <dc:description/>
  <cp:lastModifiedBy>Karolina Babicka</cp:lastModifiedBy>
  <cp:revision>4</cp:revision>
  <dcterms:created xsi:type="dcterms:W3CDTF">2023-01-18T11:21:00Z</dcterms:created>
  <dcterms:modified xsi:type="dcterms:W3CDTF">2023-01-19T11:38:00Z</dcterms:modified>
</cp:coreProperties>
</file>